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80000" distT="180000" distL="180000" distR="180000" hidden="0" layoutInCell="1" locked="0" relativeHeight="0" simplePos="0">
            <wp:simplePos x="0" y="0"/>
            <wp:positionH relativeFrom="column">
              <wp:posOffset>3570900</wp:posOffset>
            </wp:positionH>
            <wp:positionV relativeFrom="paragraph">
              <wp:posOffset>180000</wp:posOffset>
            </wp:positionV>
            <wp:extent cx="2381567" cy="3177976"/>
            <wp:effectExtent b="0" l="0" r="0" t="0"/>
            <wp:wrapSquare wrapText="bothSides" distB="180000" distT="180000" distL="180000" distR="180000"/>
            <wp:docPr descr="table of square numbers" id="8" name="image1.jpg"/>
            <a:graphic>
              <a:graphicData uri="http://schemas.openxmlformats.org/drawingml/2006/picture">
                <pic:pic>
                  <pic:nvPicPr>
                    <pic:cNvPr descr="table of square number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567" cy="31779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Charlie has been investigating square numbers. He decided to organise his work in a table: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Charlie noticed some special relationships between certain square numbers: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highlight w:val="white"/>
        </w:rPr>
      </w:pPr>
      <m:oMath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sSup>
              <m:sSupPr>
                <m:ctrlPr>
                  <w:rPr>
                    <w:rFonts w:ascii="Verdana" w:cs="Verdana" w:eastAsia="Verdana" w:hAnsi="Verdana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highlight w:val="white"/>
                  </w:rPr>
                  <m:t xml:space="preserve">3</m:t>
                </m:r>
              </m:e>
              <m:sup>
                <m:r>
                  <w:rPr>
                    <w:rFonts w:ascii="Verdana" w:cs="Verdana" w:eastAsia="Verdana" w:hAnsi="Verdana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highlight w:val="white"/>
              </w:rPr>
              <m:t xml:space="preserve">+</m:t>
            </m:r>
            <m:sSup>
              <m:sSupPr>
                <m:ctrlPr>
                  <w:rPr>
                    <w:rFonts w:ascii="Verdana" w:cs="Verdana" w:eastAsia="Verdana" w:hAnsi="Verdana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highlight w:val="white"/>
                  </w:rPr>
                  <m:t xml:space="preserve">4</m:t>
                </m:r>
              </m:e>
              <m:sup>
                <m:r>
                  <w:rPr>
                    <w:rFonts w:ascii="Verdana" w:cs="Verdana" w:eastAsia="Verdana" w:hAnsi="Verdana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highlight w:val="white"/>
              </w:rPr>
              <m:t xml:space="preserve">=</m:t>
            </m:r>
            <m:sSup>
              <m:sSupPr>
                <m:ctrlPr>
                  <w:rPr>
                    <w:rFonts w:ascii="Verdana" w:cs="Verdana" w:eastAsia="Verdana" w:hAnsi="Verdana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highlight w:val="white"/>
                  </w:rPr>
                  <m:t xml:space="preserve">5</m:t>
                </m:r>
              </m:e>
              <m:sup>
                <m:r>
                  <w:rPr>
                    <w:rFonts w:ascii="Verdana" w:cs="Verdana" w:eastAsia="Verdana" w:hAnsi="Verdana"/>
                    <w:highlight w:val="white"/>
                  </w:rPr>
                  <m:t xml:space="preserve">2</m:t>
                </m:r>
              </m:sup>
            </m:sSup>
          </m:e>
          <m:sup/>
        </m:sSup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    </w:t>
      </w:r>
      <m:oMath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5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highlight w:val="white"/>
          </w:rPr>
          <m:t xml:space="preserve">+1</m:t>
        </m:r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highlight w:val="white"/>
          </w:rPr>
          <m:t xml:space="preserve">=1</m:t>
        </m:r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3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Sets of integers like 3, 4, 5 and 5, 12, 13 are called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Pythagorean Triples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because they could be the lengths of the sides of a right-angled triangle.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 wondered whether he could find any more...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extend Charlie's table to find any more sets of Pythagorean Triples where the hypotenuse is 1 unit longer than one of the other sides?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Do you notice any patterns?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make any predictions?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formula that generates Pythagorean Triples like Charlie's?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prove that your formula works?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Alison has been working on Pythagorean Triples where the hypotenuse is 2 units longer than one of the other sides.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So far, she has found these:</w:t>
      </w:r>
    </w:p>
    <w:p w:rsidR="00000000" w:rsidDel="00000000" w:rsidP="00000000" w:rsidRDefault="00000000" w:rsidRPr="00000000" w14:paraId="00000016">
      <w:pPr>
        <w:shd w:fill="ffffff" w:val="clear"/>
        <w:spacing w:after="220" w:before="220" w:line="276" w:lineRule="auto"/>
        <w:jc w:val="center"/>
        <w:rPr>
          <w:rFonts w:ascii="Verdana" w:cs="Verdana" w:eastAsia="Verdana" w:hAnsi="Verdana"/>
          <w:highlight w:val="white"/>
        </w:rPr>
      </w:pPr>
      <m:oMath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4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highlight w:val="white"/>
          </w:rPr>
          <m:t xml:space="preserve">+</m:t>
        </m:r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3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highlight w:val="white"/>
          </w:rPr>
          <m:t xml:space="preserve">=</m:t>
        </m:r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5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 </w:t>
      </w:r>
      <m:oMath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6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highlight w:val="white"/>
          </w:rPr>
          <m:t xml:space="preserve">+</m:t>
        </m:r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8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highlight w:val="white"/>
          </w:rPr>
          <m:t xml:space="preserve">=1</m:t>
        </m:r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0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 </w:t>
      </w:r>
      <m:oMath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8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highlight w:val="white"/>
          </w:rPr>
          <m:t xml:space="preserve">+1</m:t>
        </m:r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5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highlight w:val="white"/>
          </w:rPr>
          <m:t xml:space="preserve">=1</m:t>
        </m:r>
        <m:sSup>
          <m:sSupPr>
            <m:ctrlPr>
              <w:rPr>
                <w:rFonts w:ascii="Verdana" w:cs="Verdana" w:eastAsia="Verdana" w:hAnsi="Verdana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highlight w:val="white"/>
              </w:rPr>
              <m:t xml:space="preserve">7</m:t>
            </m:r>
          </m:e>
          <m:sup>
            <m:r>
              <w:rPr>
                <w:rFonts w:ascii="Verdana" w:cs="Verdana" w:eastAsia="Verdana" w:hAnsi="Verdana"/>
                <w:highlight w:val="white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Some of these are just scaled-up versions of Charlie's triples, but some of them are new and can't be divided by a common factor (these are called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primitive triples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more Pythagorean Triples like Alison's?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formula for generating Pythagorean Triples like Alison's?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prove that your formula works?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generatingtriples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150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150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Generating Triples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1502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150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Ju5eyTU2/pIQ/UGcrCgVoKPIhg==">AMUW2mX+MQrxl+jh+3XXzLS5zGQC6vrI2ZEsvy/gW8jloKWgtdlGDPpAhsxFKQ0gpu2lNp0nHvD3WxTzT0BMXqVFPVizgLnQa8eewdwUDePNT4hBQk68GQY=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